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EE2" w:rsidRPr="002D7EAC" w:rsidRDefault="00B50EE2" w:rsidP="00B50EE2">
      <w:pPr>
        <w:spacing w:after="150" w:line="240" w:lineRule="auto"/>
        <w:jc w:val="center"/>
        <w:rPr>
          <w:rFonts w:ascii="Arial" w:eastAsia="Times New Roman" w:hAnsi="Arial" w:cs="Arial"/>
          <w:color w:val="000000"/>
          <w:sz w:val="20"/>
          <w:szCs w:val="20"/>
          <w:lang w:eastAsia="tr-TR"/>
        </w:rPr>
      </w:pPr>
      <w:r w:rsidRPr="002D7EAC">
        <w:rPr>
          <w:rFonts w:ascii="Arial" w:eastAsia="Times New Roman" w:hAnsi="Arial" w:cs="Arial"/>
          <w:color w:val="FF0000"/>
          <w:sz w:val="20"/>
          <w:szCs w:val="20"/>
          <w:lang w:eastAsia="tr-TR"/>
        </w:rPr>
        <w:t>T.C.</w:t>
      </w:r>
      <w:r w:rsidRPr="002D7EAC">
        <w:rPr>
          <w:rFonts w:ascii="Arial" w:eastAsia="Times New Roman" w:hAnsi="Arial" w:cs="Arial"/>
          <w:color w:val="FF0000"/>
          <w:sz w:val="20"/>
          <w:szCs w:val="20"/>
          <w:lang w:eastAsia="tr-TR"/>
        </w:rPr>
        <w:br/>
        <w:t>GÜMRÜK VE TİCARET BAKANLIĞI</w:t>
      </w:r>
      <w:r w:rsidRPr="002D7EAC">
        <w:rPr>
          <w:rFonts w:ascii="Arial" w:eastAsia="Times New Roman" w:hAnsi="Arial" w:cs="Arial"/>
          <w:color w:val="FF0000"/>
          <w:sz w:val="20"/>
          <w:szCs w:val="20"/>
          <w:lang w:eastAsia="tr-TR"/>
        </w:rPr>
        <w:br/>
        <w:t>Gümrükler Genel Müdürlüğü</w:t>
      </w:r>
    </w:p>
    <w:p w:rsidR="00B50EE2" w:rsidRPr="002D7EAC" w:rsidRDefault="00B50EE2" w:rsidP="00B50EE2">
      <w:pPr>
        <w:spacing w:after="150" w:line="240" w:lineRule="auto"/>
        <w:rPr>
          <w:rFonts w:ascii="Arial" w:eastAsia="Times New Roman" w:hAnsi="Arial" w:cs="Arial"/>
          <w:color w:val="000000"/>
          <w:sz w:val="20"/>
          <w:szCs w:val="20"/>
          <w:lang w:eastAsia="tr-TR"/>
        </w:rPr>
      </w:pPr>
      <w:proofErr w:type="gramStart"/>
      <w:r w:rsidRPr="002D7EAC">
        <w:rPr>
          <w:rFonts w:ascii="Arial" w:eastAsia="Times New Roman" w:hAnsi="Arial" w:cs="Arial"/>
          <w:b/>
          <w:bCs/>
          <w:color w:val="000000"/>
          <w:sz w:val="20"/>
          <w:szCs w:val="20"/>
          <w:lang w:eastAsia="tr-TR"/>
        </w:rPr>
        <w:t>Sayı :</w:t>
      </w:r>
      <w:proofErr w:type="gramEnd"/>
      <w:r w:rsidRPr="002D7EAC">
        <w:rPr>
          <w:rFonts w:ascii="Arial" w:eastAsia="Times New Roman" w:hAnsi="Arial" w:cs="Arial"/>
          <w:b/>
          <w:bCs/>
          <w:color w:val="000000"/>
          <w:sz w:val="20"/>
          <w:szCs w:val="20"/>
          <w:lang w:eastAsia="tr-TR"/>
        </w:rPr>
        <w:t> </w:t>
      </w:r>
      <w:r w:rsidRPr="002D7EAC">
        <w:rPr>
          <w:rFonts w:ascii="Arial" w:eastAsia="Times New Roman" w:hAnsi="Arial" w:cs="Arial"/>
          <w:color w:val="000000"/>
          <w:sz w:val="20"/>
          <w:szCs w:val="20"/>
          <w:lang w:eastAsia="tr-TR"/>
        </w:rPr>
        <w:t>20117910-111.01</w:t>
      </w:r>
      <w:r w:rsidRPr="002D7EAC">
        <w:rPr>
          <w:rFonts w:ascii="Arial" w:eastAsia="Times New Roman" w:hAnsi="Arial" w:cs="Arial"/>
          <w:color w:val="000000"/>
          <w:sz w:val="20"/>
          <w:szCs w:val="20"/>
          <w:lang w:eastAsia="tr-TR"/>
        </w:rPr>
        <w:br/>
      </w:r>
      <w:r w:rsidRPr="002D7EAC">
        <w:rPr>
          <w:rFonts w:ascii="Arial" w:eastAsia="Times New Roman" w:hAnsi="Arial" w:cs="Arial"/>
          <w:b/>
          <w:bCs/>
          <w:color w:val="000000"/>
          <w:sz w:val="20"/>
          <w:szCs w:val="20"/>
          <w:lang w:eastAsia="tr-TR"/>
        </w:rPr>
        <w:t>Konu : </w:t>
      </w:r>
      <w:r w:rsidRPr="002D7EAC">
        <w:rPr>
          <w:rFonts w:ascii="Arial" w:eastAsia="Times New Roman" w:hAnsi="Arial" w:cs="Arial"/>
          <w:color w:val="000000"/>
          <w:sz w:val="20"/>
          <w:szCs w:val="20"/>
          <w:lang w:eastAsia="tr-TR"/>
        </w:rPr>
        <w:t>DİR-NK</w:t>
      </w:r>
    </w:p>
    <w:p w:rsidR="00B50EE2" w:rsidRPr="002D7EAC" w:rsidRDefault="00B50EE2" w:rsidP="00B50EE2">
      <w:pPr>
        <w:spacing w:after="150" w:line="240" w:lineRule="auto"/>
        <w:jc w:val="center"/>
        <w:rPr>
          <w:rFonts w:ascii="Arial" w:eastAsia="Times New Roman" w:hAnsi="Arial" w:cs="Arial"/>
          <w:color w:val="000000"/>
          <w:sz w:val="20"/>
          <w:szCs w:val="20"/>
          <w:lang w:eastAsia="tr-TR"/>
        </w:rPr>
      </w:pPr>
      <w:r w:rsidRPr="002D7EAC">
        <w:rPr>
          <w:rFonts w:ascii="Arial" w:eastAsia="Times New Roman" w:hAnsi="Arial" w:cs="Arial"/>
          <w:color w:val="FF0000"/>
          <w:sz w:val="20"/>
          <w:szCs w:val="20"/>
          <w:lang w:eastAsia="tr-TR"/>
        </w:rPr>
        <w:t>26.02.2018 / 32359262</w:t>
      </w:r>
      <w:r w:rsidRPr="002D7EAC">
        <w:rPr>
          <w:rFonts w:ascii="Arial" w:eastAsia="Times New Roman" w:hAnsi="Arial" w:cs="Arial"/>
          <w:color w:val="FF0000"/>
          <w:sz w:val="20"/>
          <w:szCs w:val="20"/>
          <w:lang w:eastAsia="tr-TR"/>
        </w:rPr>
        <w:br/>
        <w:t>DAĞITIM YERLERİNE</w:t>
      </w:r>
    </w:p>
    <w:p w:rsidR="00B50EE2" w:rsidRPr="002D7EAC" w:rsidRDefault="00B50EE2" w:rsidP="00B50EE2">
      <w:pPr>
        <w:spacing w:after="150" w:line="240" w:lineRule="auto"/>
        <w:jc w:val="both"/>
        <w:rPr>
          <w:rFonts w:ascii="Arial" w:eastAsia="Times New Roman" w:hAnsi="Arial" w:cs="Arial"/>
          <w:color w:val="000000"/>
          <w:sz w:val="20"/>
          <w:szCs w:val="20"/>
          <w:lang w:eastAsia="tr-TR"/>
        </w:rPr>
      </w:pPr>
      <w:r w:rsidRPr="002D7EAC">
        <w:rPr>
          <w:rFonts w:ascii="Arial" w:eastAsia="Times New Roman" w:hAnsi="Arial" w:cs="Arial"/>
          <w:color w:val="000000"/>
          <w:sz w:val="20"/>
          <w:szCs w:val="20"/>
          <w:lang w:eastAsia="tr-TR"/>
        </w:rPr>
        <w:t>Bilindiği üzere, İthalat Rejimi Kararında belirli eşya için tanımlanan nihai kullanım sisteminde, nihai kullanımı nedeniyle tercihli tarifeden faydalanarak serbest dolaşıma girecek eşya için </w:t>
      </w:r>
      <w:hyperlink r:id="rId4" w:history="1">
        <w:r w:rsidRPr="002D7EAC">
          <w:rPr>
            <w:rFonts w:ascii="Arial" w:eastAsia="Times New Roman" w:hAnsi="Arial" w:cs="Arial"/>
            <w:color w:val="990000"/>
            <w:sz w:val="20"/>
            <w:szCs w:val="20"/>
            <w:u w:val="single"/>
            <w:lang w:eastAsia="tr-TR"/>
          </w:rPr>
          <w:t>2009/15481 sayılı</w:t>
        </w:r>
      </w:hyperlink>
      <w:r w:rsidRPr="002D7EAC">
        <w:rPr>
          <w:rFonts w:ascii="Arial" w:eastAsia="Times New Roman" w:hAnsi="Arial" w:cs="Arial"/>
          <w:color w:val="000000"/>
          <w:sz w:val="20"/>
          <w:szCs w:val="20"/>
          <w:lang w:eastAsia="tr-TR"/>
        </w:rPr>
        <w:t> Bakanlar Kurulu Kararının </w:t>
      </w:r>
      <w:hyperlink r:id="rId5" w:anchor="M4" w:history="1">
        <w:r w:rsidRPr="002D7EAC">
          <w:rPr>
            <w:rFonts w:ascii="Arial" w:eastAsia="Times New Roman" w:hAnsi="Arial" w:cs="Arial"/>
            <w:color w:val="990000"/>
            <w:sz w:val="20"/>
            <w:szCs w:val="20"/>
            <w:u w:val="single"/>
            <w:lang w:eastAsia="tr-TR"/>
          </w:rPr>
          <w:t>4 ila 12’nci maddeleri</w:t>
        </w:r>
      </w:hyperlink>
      <w:r w:rsidRPr="002D7EAC">
        <w:rPr>
          <w:rFonts w:ascii="Arial" w:eastAsia="Times New Roman" w:hAnsi="Arial" w:cs="Arial"/>
          <w:color w:val="000000"/>
          <w:sz w:val="20"/>
          <w:szCs w:val="20"/>
          <w:lang w:eastAsia="tr-TR"/>
        </w:rPr>
        <w:t> ve Gümrük Yönetmeliğinin </w:t>
      </w:r>
      <w:hyperlink r:id="rId6" w:anchor="M207" w:history="1">
        <w:r w:rsidRPr="002D7EAC">
          <w:rPr>
            <w:rFonts w:ascii="Arial" w:eastAsia="Times New Roman" w:hAnsi="Arial" w:cs="Arial"/>
            <w:color w:val="990000"/>
            <w:sz w:val="20"/>
            <w:szCs w:val="20"/>
            <w:u w:val="single"/>
            <w:lang w:eastAsia="tr-TR"/>
          </w:rPr>
          <w:t>207 ila 211'nci</w:t>
        </w:r>
      </w:hyperlink>
      <w:r w:rsidRPr="002D7EAC">
        <w:rPr>
          <w:rFonts w:ascii="Arial" w:eastAsia="Times New Roman" w:hAnsi="Arial" w:cs="Arial"/>
          <w:color w:val="000000"/>
          <w:sz w:val="20"/>
          <w:szCs w:val="20"/>
          <w:lang w:eastAsia="tr-TR"/>
        </w:rPr>
        <w:t> maddeleri uyarınca, ilgili gümrük idaresinden yazılı izin alınmasını müteakip nihai kullanımı nedeniyle uygulanacak gümrük vergisi ile kanuni veya tavizli vergi oranının uygulanması ile bulunacak gümrük vergisi arasındaki fark için teminat verilerek eşyanın ithal edilmesi ve öngörülen süre içinde nihai kullanıma tahsis edilmesi esastır.</w:t>
      </w:r>
    </w:p>
    <w:p w:rsidR="00B50EE2" w:rsidRPr="002D7EAC" w:rsidRDefault="00B50EE2" w:rsidP="00B50EE2">
      <w:pPr>
        <w:spacing w:after="150" w:line="240" w:lineRule="auto"/>
        <w:jc w:val="both"/>
        <w:rPr>
          <w:rFonts w:ascii="Arial" w:eastAsia="Times New Roman" w:hAnsi="Arial" w:cs="Arial"/>
          <w:color w:val="000000"/>
          <w:sz w:val="20"/>
          <w:szCs w:val="20"/>
          <w:lang w:eastAsia="tr-TR"/>
        </w:rPr>
      </w:pPr>
      <w:r w:rsidRPr="002D7EAC">
        <w:rPr>
          <w:rFonts w:ascii="Arial" w:eastAsia="Times New Roman" w:hAnsi="Arial" w:cs="Arial"/>
          <w:color w:val="000000"/>
          <w:sz w:val="20"/>
          <w:szCs w:val="20"/>
          <w:lang w:eastAsia="tr-TR"/>
        </w:rPr>
        <w:t>Söz konusu sistemin Dahilde İşleme Rejimi </w:t>
      </w:r>
      <w:hyperlink r:id="rId7" w:anchor="M5" w:history="1">
        <w:r w:rsidRPr="002D7EAC">
          <w:rPr>
            <w:rFonts w:ascii="Arial" w:eastAsia="Times New Roman" w:hAnsi="Arial" w:cs="Arial"/>
            <w:color w:val="990000"/>
            <w:sz w:val="20"/>
            <w:szCs w:val="20"/>
            <w:u w:val="single"/>
            <w:lang w:eastAsia="tr-TR"/>
          </w:rPr>
          <w:t>Şartlı Muafiyet</w:t>
        </w:r>
      </w:hyperlink>
      <w:r w:rsidRPr="002D7EAC">
        <w:rPr>
          <w:rFonts w:ascii="Arial" w:eastAsia="Times New Roman" w:hAnsi="Arial" w:cs="Arial"/>
          <w:color w:val="000000"/>
          <w:sz w:val="20"/>
          <w:szCs w:val="20"/>
          <w:lang w:eastAsia="tr-TR"/>
        </w:rPr>
        <w:t> Sistemi çerçevesinde kullanılabilmesi 2009/15481 sayılı Bakanlar Kurulu Kararının 4/</w:t>
      </w:r>
      <w:proofErr w:type="gramStart"/>
      <w:r w:rsidRPr="002D7EAC">
        <w:rPr>
          <w:rFonts w:ascii="Arial" w:eastAsia="Times New Roman" w:hAnsi="Arial" w:cs="Arial"/>
          <w:color w:val="000000"/>
          <w:sz w:val="20"/>
          <w:szCs w:val="20"/>
          <w:lang w:eastAsia="tr-TR"/>
        </w:rPr>
        <w:t>3 üncü</w:t>
      </w:r>
      <w:proofErr w:type="gramEnd"/>
      <w:r w:rsidRPr="002D7EAC">
        <w:rPr>
          <w:rFonts w:ascii="Arial" w:eastAsia="Times New Roman" w:hAnsi="Arial" w:cs="Arial"/>
          <w:color w:val="000000"/>
          <w:sz w:val="20"/>
          <w:szCs w:val="20"/>
          <w:lang w:eastAsia="tr-TR"/>
        </w:rPr>
        <w:t xml:space="preserve"> maddesi gereğince bu kapsamdaki eşya için Gümrük Kanununun </w:t>
      </w:r>
      <w:hyperlink r:id="rId8" w:anchor="M194" w:history="1">
        <w:r w:rsidRPr="002D7EAC">
          <w:rPr>
            <w:rFonts w:ascii="Arial" w:eastAsia="Times New Roman" w:hAnsi="Arial" w:cs="Arial"/>
            <w:color w:val="990000"/>
            <w:sz w:val="20"/>
            <w:szCs w:val="20"/>
            <w:u w:val="single"/>
            <w:lang w:eastAsia="tr-TR"/>
          </w:rPr>
          <w:t>194 üncü</w:t>
        </w:r>
      </w:hyperlink>
      <w:r w:rsidRPr="002D7EAC">
        <w:rPr>
          <w:rFonts w:ascii="Arial" w:eastAsia="Times New Roman" w:hAnsi="Arial" w:cs="Arial"/>
          <w:color w:val="000000"/>
          <w:sz w:val="20"/>
          <w:szCs w:val="20"/>
          <w:lang w:eastAsia="tr-TR"/>
        </w:rPr>
        <w:t> maddesi uyarınca bir gümrük yükümlülüğü doğması halinde mümkün olabilmektedir. Gerek söz konusu Karar maddesi gerekse de 13.03.2014 tarihli ve </w:t>
      </w:r>
      <w:hyperlink r:id="rId9" w:history="1">
        <w:r w:rsidRPr="002D7EAC">
          <w:rPr>
            <w:rFonts w:ascii="Arial" w:eastAsia="Times New Roman" w:hAnsi="Arial" w:cs="Arial"/>
            <w:color w:val="990000"/>
            <w:sz w:val="20"/>
            <w:szCs w:val="20"/>
            <w:u w:val="single"/>
            <w:lang w:eastAsia="tr-TR"/>
          </w:rPr>
          <w:t>2014/4 sayılı Genelge</w:t>
        </w:r>
      </w:hyperlink>
      <w:r w:rsidRPr="002D7EAC">
        <w:rPr>
          <w:rFonts w:ascii="Arial" w:eastAsia="Times New Roman" w:hAnsi="Arial" w:cs="Arial"/>
          <w:color w:val="000000"/>
          <w:sz w:val="20"/>
          <w:szCs w:val="20"/>
          <w:lang w:eastAsia="tr-TR"/>
        </w:rPr>
        <w:t> hükümleri çerçevesinde, DİR kapsamında nihai kullanım sistemin kullanılabilmesi, telafi edici vergi şartına bağlanmış ancak DİR kapsamındaki teminatın gümrük vergisinin nihai kullanım için belirlenmiş indirimli veya sıfır vergi oranı üzerinden değil, nihai kullanım dışında öngörülen yüksek vergi oranları üzerinden hesaplanacağı hüküm altına alınmıştır.</w:t>
      </w:r>
    </w:p>
    <w:p w:rsidR="00B50EE2" w:rsidRPr="002D7EAC" w:rsidRDefault="00B50EE2" w:rsidP="00B50EE2">
      <w:pPr>
        <w:spacing w:after="150" w:line="240" w:lineRule="auto"/>
        <w:jc w:val="both"/>
        <w:rPr>
          <w:rFonts w:ascii="Arial" w:eastAsia="Times New Roman" w:hAnsi="Arial" w:cs="Arial"/>
          <w:color w:val="000000"/>
          <w:sz w:val="20"/>
          <w:szCs w:val="20"/>
          <w:lang w:eastAsia="tr-TR"/>
        </w:rPr>
      </w:pPr>
      <w:r w:rsidRPr="002D7EAC">
        <w:rPr>
          <w:rFonts w:ascii="Arial" w:eastAsia="Times New Roman" w:hAnsi="Arial" w:cs="Arial"/>
          <w:color w:val="000000"/>
          <w:sz w:val="20"/>
          <w:szCs w:val="20"/>
          <w:lang w:eastAsia="tr-TR"/>
        </w:rPr>
        <w:t>Bununla birlikte, DİR şartlı muafiyet sistemi ile nihai kullanım sisteminin birlikte kullanıldığı durumlarda, nihai kullanım sistemi için gerekli iznin alınmadığı, DİR kapsamındaki teminatın ise nihai kullanım için belirlenmiş düşük vergi oranları üzerinden hesaplandığı beyannameler tespit edilmiş ve ilgili gümrük idarelerince bu durumda olan beyannameler için Gümrük Kanunun </w:t>
      </w:r>
      <w:hyperlink r:id="rId10" w:anchor="M234" w:history="1">
        <w:r w:rsidRPr="002D7EAC">
          <w:rPr>
            <w:rFonts w:ascii="Arial" w:eastAsia="Times New Roman" w:hAnsi="Arial" w:cs="Arial"/>
            <w:color w:val="990000"/>
            <w:sz w:val="20"/>
            <w:szCs w:val="20"/>
            <w:u w:val="single"/>
            <w:lang w:eastAsia="tr-TR"/>
          </w:rPr>
          <w:t xml:space="preserve">234/2 </w:t>
        </w:r>
        <w:proofErr w:type="spellStart"/>
        <w:r w:rsidRPr="002D7EAC">
          <w:rPr>
            <w:rFonts w:ascii="Arial" w:eastAsia="Times New Roman" w:hAnsi="Arial" w:cs="Arial"/>
            <w:color w:val="990000"/>
            <w:sz w:val="20"/>
            <w:szCs w:val="20"/>
            <w:u w:val="single"/>
            <w:lang w:eastAsia="tr-TR"/>
          </w:rPr>
          <w:t>nci</w:t>
        </w:r>
        <w:proofErr w:type="spellEnd"/>
      </w:hyperlink>
      <w:r w:rsidRPr="002D7EAC">
        <w:rPr>
          <w:rFonts w:ascii="Arial" w:eastAsia="Times New Roman" w:hAnsi="Arial" w:cs="Arial"/>
          <w:color w:val="000000"/>
          <w:sz w:val="20"/>
          <w:szCs w:val="20"/>
          <w:lang w:eastAsia="tr-TR"/>
        </w:rPr>
        <w:t> maddesi gereği para cezası tatbik edildiği anlaşılmıştır. Söz konusu cezalara ise, bilahare ilgili firmalar tarafından, teminatın işlemlerin bir kısmı için, gümrük yükümlülüğü gerektiren veya gerektirebilecek tüm işlemleri kapsayacak götürü teminat olarak verilmiş olması hasebiyle itiraz edildiği tespit edilmiştir.</w:t>
      </w:r>
    </w:p>
    <w:p w:rsidR="00B50EE2" w:rsidRPr="002D7EAC" w:rsidRDefault="00B50EE2" w:rsidP="00B50EE2">
      <w:pPr>
        <w:spacing w:after="150" w:line="240" w:lineRule="auto"/>
        <w:jc w:val="both"/>
        <w:rPr>
          <w:rFonts w:ascii="Arial" w:eastAsia="Times New Roman" w:hAnsi="Arial" w:cs="Arial"/>
          <w:color w:val="000000"/>
          <w:sz w:val="20"/>
          <w:szCs w:val="20"/>
          <w:lang w:eastAsia="tr-TR"/>
        </w:rPr>
      </w:pPr>
      <w:r w:rsidRPr="002D7EAC">
        <w:rPr>
          <w:rFonts w:ascii="Arial" w:eastAsia="Times New Roman" w:hAnsi="Arial" w:cs="Arial"/>
          <w:color w:val="000000"/>
          <w:sz w:val="20"/>
          <w:szCs w:val="20"/>
          <w:lang w:eastAsia="tr-TR"/>
        </w:rPr>
        <w:t>Bilindiği üzere, Gümrük Kanunun “Teminat” başlıklı </w:t>
      </w:r>
      <w:hyperlink r:id="rId11" w:anchor="M202" w:history="1">
        <w:r w:rsidRPr="002D7EAC">
          <w:rPr>
            <w:rFonts w:ascii="Arial" w:eastAsia="Times New Roman" w:hAnsi="Arial" w:cs="Arial"/>
            <w:color w:val="990000"/>
            <w:sz w:val="20"/>
            <w:szCs w:val="20"/>
            <w:u w:val="single"/>
            <w:lang w:eastAsia="tr-TR"/>
          </w:rPr>
          <w:t>202 inci</w:t>
        </w:r>
      </w:hyperlink>
      <w:r w:rsidRPr="002D7EAC">
        <w:rPr>
          <w:rFonts w:ascii="Arial" w:eastAsia="Times New Roman" w:hAnsi="Arial" w:cs="Arial"/>
          <w:color w:val="000000"/>
          <w:sz w:val="20"/>
          <w:szCs w:val="20"/>
          <w:lang w:eastAsia="tr-TR"/>
        </w:rPr>
        <w:t xml:space="preserve"> maddesi “Gümrük mevzuatı uyarınca, gümrük idarelerinin gümrük vergilerinin ve diğer amme alacaklarının ödenmesini sağlamak üzere bir teminat verilmesini gerekli görmeleri halinde, bu teminat söz konusu vergiler tutarının </w:t>
      </w:r>
      <w:proofErr w:type="gramStart"/>
      <w:r w:rsidRPr="002D7EAC">
        <w:rPr>
          <w:rFonts w:ascii="Arial" w:eastAsia="Times New Roman" w:hAnsi="Arial" w:cs="Arial"/>
          <w:color w:val="000000"/>
          <w:sz w:val="20"/>
          <w:szCs w:val="20"/>
          <w:lang w:eastAsia="tr-TR"/>
        </w:rPr>
        <w:t>% 20</w:t>
      </w:r>
      <w:proofErr w:type="gramEnd"/>
      <w:r w:rsidRPr="002D7EAC">
        <w:rPr>
          <w:rFonts w:ascii="Arial" w:eastAsia="Times New Roman" w:hAnsi="Arial" w:cs="Arial"/>
          <w:color w:val="000000"/>
          <w:sz w:val="20"/>
          <w:szCs w:val="20"/>
          <w:lang w:eastAsia="tr-TR"/>
        </w:rPr>
        <w:t xml:space="preserve"> fazlasıyla yükümlü veya yükümlü olması muhtemel kişi tarafından verilir.” Hükmünü amir olup söz konusu maddeden teminat müessesesinin esasen devletin kamu alacağının garanti altına alınmasını sağlama amacını taşıdığı anlaşılmaktadır.</w:t>
      </w:r>
    </w:p>
    <w:p w:rsidR="00B50EE2" w:rsidRPr="002D7EAC" w:rsidRDefault="00B50EE2" w:rsidP="00B50EE2">
      <w:pPr>
        <w:spacing w:after="150" w:line="240" w:lineRule="auto"/>
        <w:jc w:val="both"/>
        <w:rPr>
          <w:rFonts w:ascii="Arial" w:eastAsia="Times New Roman" w:hAnsi="Arial" w:cs="Arial"/>
          <w:color w:val="000000"/>
          <w:sz w:val="20"/>
          <w:szCs w:val="20"/>
          <w:lang w:eastAsia="tr-TR"/>
        </w:rPr>
      </w:pPr>
      <w:r w:rsidRPr="002D7EAC">
        <w:rPr>
          <w:rFonts w:ascii="Arial" w:eastAsia="Times New Roman" w:hAnsi="Arial" w:cs="Arial"/>
          <w:color w:val="000000"/>
          <w:sz w:val="20"/>
          <w:szCs w:val="20"/>
          <w:lang w:eastAsia="tr-TR"/>
        </w:rPr>
        <w:t xml:space="preserve">Öte yandan, </w:t>
      </w:r>
      <w:proofErr w:type="gramStart"/>
      <w:r w:rsidRPr="002D7EAC">
        <w:rPr>
          <w:rFonts w:ascii="Arial" w:eastAsia="Times New Roman" w:hAnsi="Arial" w:cs="Arial"/>
          <w:color w:val="000000"/>
          <w:sz w:val="20"/>
          <w:szCs w:val="20"/>
          <w:lang w:eastAsia="tr-TR"/>
        </w:rPr>
        <w:t>Gümrük Kanununun</w:t>
      </w:r>
      <w:proofErr w:type="gramEnd"/>
      <w:r w:rsidRPr="002D7EAC">
        <w:rPr>
          <w:rFonts w:ascii="Arial" w:eastAsia="Times New Roman" w:hAnsi="Arial" w:cs="Arial"/>
          <w:color w:val="000000"/>
          <w:sz w:val="20"/>
          <w:szCs w:val="20"/>
          <w:lang w:eastAsia="tr-TR"/>
        </w:rPr>
        <w:t> </w:t>
      </w:r>
      <w:hyperlink r:id="rId12" w:anchor="M204" w:history="1">
        <w:r w:rsidRPr="002D7EAC">
          <w:rPr>
            <w:rFonts w:ascii="Arial" w:eastAsia="Times New Roman" w:hAnsi="Arial" w:cs="Arial"/>
            <w:color w:val="990000"/>
            <w:sz w:val="20"/>
            <w:szCs w:val="20"/>
            <w:u w:val="single"/>
            <w:lang w:eastAsia="tr-TR"/>
          </w:rPr>
          <w:t>204 üncü</w:t>
        </w:r>
      </w:hyperlink>
      <w:r w:rsidRPr="002D7EAC">
        <w:rPr>
          <w:rFonts w:ascii="Arial" w:eastAsia="Times New Roman" w:hAnsi="Arial" w:cs="Arial"/>
          <w:color w:val="000000"/>
          <w:sz w:val="20"/>
          <w:szCs w:val="20"/>
          <w:lang w:eastAsia="tr-TR"/>
        </w:rPr>
        <w:t> maddesi uyarınca, götürü teminata ilişkin usul ve esaslar yönetmelikle belirlenmektedir. Gümrük Yönetmeliği ve Gümrük İşlemlerinin Kolaylaştırılması Yönetmeliğinin amir hükümleri çerçevesinde, götürü teminat sisteminde; gümrük yükümlülüğü gerektiren veya gerektirebilecek birden fazla işlemin her biri için ayrı ayrı teminat verilmesi yerine, transit rejimi hariç tüm işlemleri kapsayacak bir teminatın verilebilmesi mümkündür.</w:t>
      </w:r>
    </w:p>
    <w:p w:rsidR="00B50EE2" w:rsidRPr="002D7EAC" w:rsidRDefault="00B50EE2" w:rsidP="00B50EE2">
      <w:pPr>
        <w:spacing w:after="150" w:line="240" w:lineRule="auto"/>
        <w:jc w:val="both"/>
        <w:rPr>
          <w:rFonts w:ascii="Arial" w:eastAsia="Times New Roman" w:hAnsi="Arial" w:cs="Arial"/>
          <w:color w:val="000000"/>
          <w:sz w:val="20"/>
          <w:szCs w:val="20"/>
          <w:lang w:eastAsia="tr-TR"/>
        </w:rPr>
      </w:pPr>
      <w:r w:rsidRPr="002D7EAC">
        <w:rPr>
          <w:rFonts w:ascii="Arial" w:eastAsia="Times New Roman" w:hAnsi="Arial" w:cs="Arial"/>
          <w:color w:val="000000"/>
          <w:sz w:val="20"/>
          <w:szCs w:val="20"/>
          <w:lang w:eastAsia="tr-TR"/>
        </w:rPr>
        <w:t>Bu itibarla, Bakanlık Makamından alınan 23.02.2018 tarihli ve 00031917648 sayılı Onay ile Dahilde İşleme Rejimi kapsamındaki teminatın, nihai kullanım için belirlenmiş indirimli vergi oranı üzerinden hesaplanması durumunda, teminatın götürü teminat olarak verilmiş olması halinde; Kanunun </w:t>
      </w:r>
      <w:hyperlink r:id="rId13" w:anchor="M234" w:history="1">
        <w:r w:rsidRPr="002D7EAC">
          <w:rPr>
            <w:rFonts w:ascii="Arial" w:eastAsia="Times New Roman" w:hAnsi="Arial" w:cs="Arial"/>
            <w:color w:val="990000"/>
            <w:sz w:val="20"/>
            <w:szCs w:val="20"/>
            <w:u w:val="single"/>
            <w:lang w:eastAsia="tr-TR"/>
          </w:rPr>
          <w:t>234/1(a)</w:t>
        </w:r>
      </w:hyperlink>
      <w:r w:rsidRPr="002D7EAC">
        <w:rPr>
          <w:rFonts w:ascii="Arial" w:eastAsia="Times New Roman" w:hAnsi="Arial" w:cs="Arial"/>
          <w:color w:val="000000"/>
          <w:sz w:val="20"/>
          <w:szCs w:val="20"/>
          <w:lang w:eastAsia="tr-TR"/>
        </w:rPr>
        <w:t> kapsamında vergi alınmasına koşut olarak ilave bir teminat alınması sonucu doğmayacağından Kanunun </w:t>
      </w:r>
      <w:hyperlink r:id="rId14" w:anchor="M234" w:history="1">
        <w:r w:rsidRPr="002D7EAC">
          <w:rPr>
            <w:rFonts w:ascii="Arial" w:eastAsia="Times New Roman" w:hAnsi="Arial" w:cs="Arial"/>
            <w:color w:val="990000"/>
            <w:sz w:val="20"/>
            <w:szCs w:val="20"/>
            <w:u w:val="single"/>
            <w:lang w:eastAsia="tr-TR"/>
          </w:rPr>
          <w:t>234/2 inci</w:t>
        </w:r>
      </w:hyperlink>
      <w:r w:rsidRPr="002D7EAC">
        <w:rPr>
          <w:rFonts w:ascii="Arial" w:eastAsia="Times New Roman" w:hAnsi="Arial" w:cs="Arial"/>
          <w:color w:val="000000"/>
          <w:sz w:val="20"/>
          <w:szCs w:val="20"/>
          <w:lang w:eastAsia="tr-TR"/>
        </w:rPr>
        <w:t> maddesindeki yaptırımı müstelzim kabahatin oluşmayacağı, bu sebeple maddede belirtilen yaptırımın uygulanmaksızın işlemlerin münhasıran beyannamelerin teminat yönünden düzeltilerek tekemmül ettirilmesi uygun bulunmuştur.</w:t>
      </w:r>
    </w:p>
    <w:p w:rsidR="00B50EE2" w:rsidRPr="002D7EAC" w:rsidRDefault="00B50EE2" w:rsidP="00B50EE2">
      <w:pPr>
        <w:spacing w:after="150" w:line="240" w:lineRule="auto"/>
        <w:jc w:val="both"/>
        <w:rPr>
          <w:rFonts w:ascii="Arial" w:eastAsia="Times New Roman" w:hAnsi="Arial" w:cs="Arial"/>
          <w:color w:val="000000"/>
          <w:sz w:val="20"/>
          <w:szCs w:val="20"/>
          <w:lang w:eastAsia="tr-TR"/>
        </w:rPr>
      </w:pPr>
      <w:r w:rsidRPr="002D7EAC">
        <w:rPr>
          <w:rFonts w:ascii="Arial" w:eastAsia="Times New Roman" w:hAnsi="Arial" w:cs="Arial"/>
          <w:color w:val="000000"/>
          <w:sz w:val="20"/>
          <w:szCs w:val="20"/>
          <w:lang w:eastAsia="tr-TR"/>
        </w:rPr>
        <w:t>Bilgi ve gereğini rica ederim.</w:t>
      </w:r>
    </w:p>
    <w:p w:rsidR="00B50EE2" w:rsidRPr="002D7EAC" w:rsidRDefault="00B50EE2" w:rsidP="00B50EE2">
      <w:pPr>
        <w:spacing w:after="150" w:line="240" w:lineRule="auto"/>
        <w:jc w:val="right"/>
        <w:rPr>
          <w:rFonts w:ascii="Arial" w:eastAsia="Times New Roman" w:hAnsi="Arial" w:cs="Arial"/>
          <w:b/>
          <w:color w:val="000000"/>
          <w:sz w:val="20"/>
          <w:szCs w:val="20"/>
          <w:lang w:eastAsia="tr-TR"/>
        </w:rPr>
      </w:pPr>
      <w:r w:rsidRPr="002D7EAC">
        <w:rPr>
          <w:rFonts w:ascii="Arial" w:eastAsia="Times New Roman" w:hAnsi="Arial" w:cs="Arial"/>
          <w:b/>
          <w:color w:val="000000"/>
          <w:sz w:val="20"/>
          <w:szCs w:val="20"/>
          <w:lang w:eastAsia="tr-TR"/>
        </w:rPr>
        <w:t>Alpay ARAS</w:t>
      </w:r>
      <w:r w:rsidRPr="002D7EAC">
        <w:rPr>
          <w:rFonts w:ascii="Arial" w:eastAsia="Times New Roman" w:hAnsi="Arial" w:cs="Arial"/>
          <w:b/>
          <w:color w:val="000000"/>
          <w:sz w:val="20"/>
          <w:szCs w:val="20"/>
          <w:lang w:eastAsia="tr-TR"/>
        </w:rPr>
        <w:br/>
        <w:t>Bakan a.</w:t>
      </w:r>
      <w:r w:rsidRPr="002D7EAC">
        <w:rPr>
          <w:rFonts w:ascii="Arial" w:eastAsia="Times New Roman" w:hAnsi="Arial" w:cs="Arial"/>
          <w:b/>
          <w:color w:val="000000"/>
          <w:sz w:val="20"/>
          <w:szCs w:val="20"/>
          <w:lang w:eastAsia="tr-TR"/>
        </w:rPr>
        <w:br/>
        <w:t>Daire Başkanı</w:t>
      </w:r>
    </w:p>
    <w:p w:rsidR="00B50EE2" w:rsidRDefault="00B50EE2" w:rsidP="00B50EE2">
      <w:pPr>
        <w:spacing w:after="150" w:line="240" w:lineRule="auto"/>
        <w:rPr>
          <w:rFonts w:ascii="Arial" w:eastAsia="Times New Roman" w:hAnsi="Arial" w:cs="Arial"/>
          <w:b/>
          <w:bCs/>
          <w:color w:val="000000"/>
          <w:sz w:val="20"/>
          <w:szCs w:val="20"/>
          <w:lang w:eastAsia="tr-TR"/>
        </w:rPr>
      </w:pPr>
    </w:p>
    <w:p w:rsidR="00B50EE2" w:rsidRPr="002D7EAC" w:rsidRDefault="00B50EE2" w:rsidP="00B50EE2">
      <w:pPr>
        <w:spacing w:after="150" w:line="240" w:lineRule="auto"/>
        <w:rPr>
          <w:sz w:val="20"/>
          <w:szCs w:val="20"/>
        </w:rPr>
      </w:pPr>
      <w:r w:rsidRPr="002D7EAC">
        <w:rPr>
          <w:rFonts w:ascii="Arial" w:eastAsia="Times New Roman" w:hAnsi="Arial" w:cs="Arial"/>
          <w:b/>
          <w:bCs/>
          <w:color w:val="000000"/>
          <w:sz w:val="20"/>
          <w:szCs w:val="20"/>
          <w:lang w:eastAsia="tr-TR"/>
        </w:rPr>
        <w:t>Dağıtım: </w:t>
      </w:r>
      <w:r w:rsidRPr="002D7EAC">
        <w:rPr>
          <w:rFonts w:ascii="Arial" w:eastAsia="Times New Roman" w:hAnsi="Arial" w:cs="Arial"/>
          <w:color w:val="000000"/>
          <w:sz w:val="20"/>
          <w:szCs w:val="20"/>
          <w:lang w:eastAsia="tr-TR"/>
        </w:rPr>
        <w:t>Tüm Gümrük ve Ticaret Bölge Müdürlüklerine</w:t>
      </w:r>
    </w:p>
    <w:p w:rsidR="009474AB" w:rsidRDefault="009474AB">
      <w:bookmarkStart w:id="0" w:name="_GoBack"/>
      <w:bookmarkEnd w:id="0"/>
    </w:p>
    <w:sectPr w:rsidR="009474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EE2"/>
    <w:rsid w:val="009474AB"/>
    <w:rsid w:val="00B50E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A311B-787F-40BC-B8A4-539299697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E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vzuat.net/gumruk/kanun/kanun4458_s28.aspx" TargetMode="External"/><Relationship Id="rId13" Type="http://schemas.openxmlformats.org/officeDocument/2006/relationships/hyperlink" Target="http://www.mevzuat.net/gumruk/kanun/kanun4458_s32.aspx" TargetMode="External"/><Relationship Id="rId3" Type="http://schemas.openxmlformats.org/officeDocument/2006/relationships/webSettings" Target="webSettings.xml"/><Relationship Id="rId7" Type="http://schemas.openxmlformats.org/officeDocument/2006/relationships/hyperlink" Target="http://www.mevzuat.net/ihracat/2006/ihr200612.aspx" TargetMode="External"/><Relationship Id="rId12" Type="http://schemas.openxmlformats.org/officeDocument/2006/relationships/hyperlink" Target="http://www.mevzuat.net/gumruk/kanun/kanun4458_s29.asp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evzuat.net/gumruk/yonetmelik2009/ynt07.aspx" TargetMode="External"/><Relationship Id="rId11" Type="http://schemas.openxmlformats.org/officeDocument/2006/relationships/hyperlink" Target="http://www.mevzuat.net/gumruk/kanun/kanun4458_s29.aspx" TargetMode="External"/><Relationship Id="rId5" Type="http://schemas.openxmlformats.org/officeDocument/2006/relationships/hyperlink" Target="http://www.mevzuat.net/gumruk/2009/bkk200915481.aspx" TargetMode="External"/><Relationship Id="rId15" Type="http://schemas.openxmlformats.org/officeDocument/2006/relationships/fontTable" Target="fontTable.xml"/><Relationship Id="rId10" Type="http://schemas.openxmlformats.org/officeDocument/2006/relationships/hyperlink" Target="http://www.mevzuat.net/gumruk/kanun/kanun4458_s32.aspx" TargetMode="External"/><Relationship Id="rId4" Type="http://schemas.openxmlformats.org/officeDocument/2006/relationships/hyperlink" Target="http://www.mevzuat.net/gumruk/2009/bkk200915481.aspx" TargetMode="External"/><Relationship Id="rId9" Type="http://schemas.openxmlformats.org/officeDocument/2006/relationships/hyperlink" Target="http://www.mevzuat.net/gumruk/genelge/2014/ggm201404.aspx" TargetMode="External"/><Relationship Id="rId14" Type="http://schemas.openxmlformats.org/officeDocument/2006/relationships/hyperlink" Target="http://www.mevzuat.net/gumruk/kanun/kanun4458_s32.asp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4095</Characters>
  <Application>Microsoft Office Word</Application>
  <DocSecurity>0</DocSecurity>
  <Lines>34</Lines>
  <Paragraphs>9</Paragraphs>
  <ScaleCrop>false</ScaleCrop>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sezai kaya</dc:creator>
  <cp:keywords/>
  <dc:description/>
  <cp:lastModifiedBy>sezai kaya</cp:lastModifiedBy>
  <cp:revision>1</cp:revision>
  <dcterms:created xsi:type="dcterms:W3CDTF">2018-02-27T15:25:00Z</dcterms:created>
  <dcterms:modified xsi:type="dcterms:W3CDTF">2018-02-27T15:26:00Z</dcterms:modified>
</cp:coreProperties>
</file>