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E4" w:rsidRDefault="00730DE4" w:rsidP="00730DE4">
      <w:proofErr w:type="gramStart"/>
      <w:r>
        <w:t>Konu :</w:t>
      </w:r>
      <w:proofErr w:type="gramEnd"/>
      <w:r>
        <w:t xml:space="preserve"> Konteyner ve Liman takip sistemi </w:t>
      </w:r>
      <w:proofErr w:type="spellStart"/>
      <w:r>
        <w:t>hk</w:t>
      </w:r>
      <w:proofErr w:type="spellEnd"/>
      <w:r>
        <w:t xml:space="preserve">. </w:t>
      </w:r>
      <w:r>
        <w:tab/>
      </w:r>
      <w:r>
        <w:tab/>
      </w:r>
      <w:r>
        <w:tab/>
      </w:r>
      <w:r>
        <w:tab/>
      </w:r>
      <w:r>
        <w:tab/>
        <w:t>Tarih: 25/10/2017</w:t>
      </w:r>
    </w:p>
    <w:p w:rsidR="00730DE4" w:rsidRDefault="00730DE4" w:rsidP="00730DE4">
      <w:r>
        <w:t xml:space="preserve">Kayıt tarihi:26/10/2017 </w:t>
      </w:r>
      <w:r>
        <w:tab/>
      </w:r>
      <w:r>
        <w:tab/>
      </w:r>
      <w:r>
        <w:tab/>
      </w:r>
      <w:r>
        <w:tab/>
      </w:r>
      <w:r>
        <w:tab/>
      </w:r>
      <w:r>
        <w:tab/>
      </w:r>
      <w:r>
        <w:tab/>
        <w:t>Kayıt sayısı:29007796</w:t>
      </w:r>
    </w:p>
    <w:p w:rsidR="00730DE4" w:rsidRPr="007278EF" w:rsidRDefault="00730DE4" w:rsidP="00730DE4">
      <w:pPr>
        <w:spacing w:after="0" w:line="240" w:lineRule="auto"/>
        <w:jc w:val="center"/>
        <w:rPr>
          <w:b/>
        </w:rPr>
      </w:pPr>
      <w:r w:rsidRPr="007278EF">
        <w:rPr>
          <w:b/>
        </w:rPr>
        <w:t>T.C.</w:t>
      </w:r>
    </w:p>
    <w:p w:rsidR="00730DE4" w:rsidRPr="007278EF" w:rsidRDefault="00730DE4" w:rsidP="00730DE4">
      <w:pPr>
        <w:spacing w:after="0" w:line="240" w:lineRule="auto"/>
        <w:jc w:val="center"/>
        <w:rPr>
          <w:b/>
        </w:rPr>
      </w:pPr>
      <w:r w:rsidRPr="007278EF">
        <w:rPr>
          <w:b/>
        </w:rPr>
        <w:t>GÜMRÜK VE TİCARET BAKANLIĞI</w:t>
      </w:r>
    </w:p>
    <w:p w:rsidR="00730DE4" w:rsidRPr="007278EF" w:rsidRDefault="00730DE4" w:rsidP="00730DE4">
      <w:pPr>
        <w:spacing w:after="0" w:line="240" w:lineRule="auto"/>
        <w:jc w:val="center"/>
        <w:rPr>
          <w:b/>
        </w:rPr>
      </w:pPr>
      <w:r w:rsidRPr="007278EF">
        <w:rPr>
          <w:b/>
        </w:rPr>
        <w:t>Risk Yönetimi ve Kontrol Genel Müdürlüğü’ne</w:t>
      </w:r>
    </w:p>
    <w:p w:rsidR="00730DE4" w:rsidRDefault="00730DE4" w:rsidP="00730DE4">
      <w:pPr>
        <w:spacing w:after="0" w:line="240" w:lineRule="auto"/>
        <w:jc w:val="center"/>
      </w:pPr>
    </w:p>
    <w:p w:rsidR="00730DE4" w:rsidRDefault="00730DE4" w:rsidP="00730DE4">
      <w:pPr>
        <w:spacing w:after="120" w:line="240" w:lineRule="auto"/>
        <w:jc w:val="both"/>
      </w:pPr>
      <w:r>
        <w:t xml:space="preserve">Risk Yönetimi ve Kontrol Genel Müdürlüğü’nce yayımlanan 06.03.2017 tarihli 2017/3 sayılı Konteyner ve Liman Takip Sistemi konulu Genelge hükümlerinin uygulanmasına müteakip, konteyner taşımacılığı ile gerçekleştirilen ihracat işlemlerinde, ihracat beyannamesinde kayıtlı konteyner fiili olarak </w:t>
      </w:r>
      <w:proofErr w:type="gramStart"/>
      <w:r>
        <w:t>liman  sahasına</w:t>
      </w:r>
      <w:proofErr w:type="gramEnd"/>
      <w:r>
        <w:t xml:space="preserve"> giriş yapmadan ihracat beyannamesi tescil edilememektedir.</w:t>
      </w:r>
    </w:p>
    <w:p w:rsidR="00730DE4" w:rsidRDefault="00730DE4" w:rsidP="00730DE4">
      <w:pPr>
        <w:spacing w:after="120" w:line="240" w:lineRule="auto"/>
        <w:jc w:val="both"/>
      </w:pPr>
    </w:p>
    <w:p w:rsidR="00730DE4" w:rsidRDefault="00730DE4" w:rsidP="00730DE4">
      <w:pPr>
        <w:spacing w:after="120" w:line="240" w:lineRule="auto"/>
        <w:jc w:val="both"/>
      </w:pPr>
      <w:r>
        <w:t xml:space="preserve">07.10.2009 tarihli 27369 sayılı Resmî </w:t>
      </w:r>
      <w:proofErr w:type="spellStart"/>
      <w:r>
        <w:t>Gazete’de</w:t>
      </w:r>
      <w:proofErr w:type="spellEnd"/>
      <w:r>
        <w:t xml:space="preserve"> yayımlanmış olan Gümrük Yönetmeliğinin 417’inci maddesinin 3’üncü fıkrası, Geçici depolama yerlerine konulmaksızın ihraç edilecek eşyanın beyanname kapatma süresi iki aydır. Bu süre gümrük müdürlüklerince makul sebeplerle en çok iki ay uzatılabilir. Bu süreler içinde işlemleri tamamlanmayan beyannameler iptal edilir, hükmüne amirdir.</w:t>
      </w:r>
    </w:p>
    <w:p w:rsidR="00730DE4" w:rsidRDefault="00730DE4" w:rsidP="00730DE4">
      <w:pPr>
        <w:spacing w:after="120" w:line="240" w:lineRule="auto"/>
        <w:jc w:val="both"/>
      </w:pPr>
    </w:p>
    <w:p w:rsidR="00730DE4" w:rsidRDefault="00730DE4" w:rsidP="00730DE4">
      <w:pPr>
        <w:spacing w:after="120" w:line="240" w:lineRule="auto"/>
        <w:jc w:val="both"/>
      </w:pPr>
      <w:r>
        <w:t>Konteynerlerin liman sahasına giriş yapmadan ihracat beyannamesinin tescil edilememesi uygulamasının, yazımızda belirtilen Gümrük Yönetmeliği maddelerine aykırı olması, ihracat işlemlerinde gecikmelere neden olması, derneğimize üyelerinden ve ihracatçı firmalardan alınan geri bildirimlerde özellikle acentelerin beyanname teslim sürelerinde katı tutum sergilemesinden dolayı ihracat yüklerinin gemilere yüklenememesine neden olmaktadır. Gelinen noktada uygulamadan dolayı gemilere yüklenemeyen ihracat yükleri, ihracatçı firmalara demuraj ve ardiye ücreti gibi ek maliyetler doğurmaktadır.</w:t>
      </w:r>
    </w:p>
    <w:p w:rsidR="00730DE4" w:rsidRDefault="00730DE4" w:rsidP="00730DE4">
      <w:pPr>
        <w:spacing w:after="120" w:line="240" w:lineRule="auto"/>
        <w:jc w:val="both"/>
      </w:pPr>
      <w:r>
        <w:t xml:space="preserve">Yazımızda belirtilen gerekçelere istinaden uygulamanın Gümrük Yönetmeliği ile uyumlu hale getirilerek, konteynerlerin limana girmesi beklenilmeksizin ihracat beyannamelerinin tescil edilebilmesine olanak sağlar hale getirilmesi hususunu emir ve müsaadelerinize arz ederiz.  </w:t>
      </w:r>
    </w:p>
    <w:p w:rsidR="00730DE4" w:rsidRDefault="00730DE4" w:rsidP="00730DE4">
      <w:pPr>
        <w:spacing w:after="120" w:line="240" w:lineRule="auto"/>
        <w:jc w:val="both"/>
      </w:pPr>
      <w:r>
        <w:t>Saygılarımızla,</w:t>
      </w:r>
    </w:p>
    <w:p w:rsidR="00730DE4" w:rsidRDefault="00730DE4" w:rsidP="00730DE4"/>
    <w:p w:rsidR="00730DE4" w:rsidRDefault="00730DE4" w:rsidP="00730DE4"/>
    <w:p w:rsidR="00730DE4" w:rsidRDefault="00730DE4" w:rsidP="00730DE4"/>
    <w:p w:rsidR="00730DE4" w:rsidRDefault="00730DE4" w:rsidP="00730DE4"/>
    <w:p w:rsidR="00730DE4" w:rsidRDefault="00730DE4" w:rsidP="00730DE4"/>
    <w:p w:rsidR="00730DE4" w:rsidRDefault="00730DE4" w:rsidP="00730DE4"/>
    <w:p w:rsidR="00730DE4" w:rsidRDefault="00730DE4" w:rsidP="00730DE4"/>
    <w:p w:rsidR="00730DE4" w:rsidRDefault="00730DE4" w:rsidP="00730DE4"/>
    <w:p w:rsidR="00730DE4" w:rsidRDefault="00730DE4" w:rsidP="00730DE4"/>
    <w:p w:rsidR="00730DE4" w:rsidRDefault="00730DE4" w:rsidP="00730DE4"/>
    <w:p w:rsidR="00730DE4" w:rsidRDefault="00730DE4" w:rsidP="00730DE4">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lastRenderedPageBreak/>
        <w:t>T.C. </w:t>
      </w:r>
      <w:r>
        <w:rPr>
          <w:rFonts w:ascii="Arial" w:hAnsi="Arial" w:cs="Arial"/>
          <w:color w:val="FF0000"/>
          <w:sz w:val="21"/>
          <w:szCs w:val="21"/>
        </w:rPr>
        <w:br/>
        <w:t>GÜMRÜK VE TİCARET BAKANLIĞI </w:t>
      </w:r>
      <w:r>
        <w:rPr>
          <w:rFonts w:ascii="Arial" w:hAnsi="Arial" w:cs="Arial"/>
          <w:color w:val="FF0000"/>
          <w:sz w:val="21"/>
          <w:szCs w:val="21"/>
        </w:rPr>
        <w:br/>
        <w:t>Risk Yönetimi ve Kontrol Genel Müdürlüğü</w:t>
      </w:r>
    </w:p>
    <w:p w:rsidR="00730DE4" w:rsidRDefault="00730DE4" w:rsidP="00730DE4">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Sayı :</w:t>
      </w:r>
      <w:proofErr w:type="gramEnd"/>
      <w:r>
        <w:rPr>
          <w:rFonts w:ascii="Arial" w:hAnsi="Arial" w:cs="Arial"/>
          <w:color w:val="000000"/>
          <w:sz w:val="21"/>
          <w:szCs w:val="21"/>
        </w:rPr>
        <w:t> 52856264-235</w:t>
      </w:r>
    </w:p>
    <w:p w:rsidR="00730DE4" w:rsidRDefault="00730DE4" w:rsidP="00730DE4">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Konu :</w:t>
      </w:r>
      <w:proofErr w:type="gramEnd"/>
      <w:r>
        <w:rPr>
          <w:rFonts w:ascii="Arial" w:hAnsi="Arial" w:cs="Arial"/>
          <w:color w:val="000000"/>
          <w:sz w:val="21"/>
          <w:szCs w:val="21"/>
        </w:rPr>
        <w:t> İhracat Beyannamesi Tescili</w:t>
      </w:r>
    </w:p>
    <w:p w:rsidR="00730DE4" w:rsidRDefault="00730DE4" w:rsidP="00730DE4">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21.05.2018 / 34504962</w:t>
      </w:r>
      <w:r>
        <w:rPr>
          <w:rFonts w:ascii="Arial" w:hAnsi="Arial" w:cs="Arial"/>
          <w:color w:val="FF0000"/>
          <w:sz w:val="21"/>
          <w:szCs w:val="21"/>
        </w:rPr>
        <w:br/>
        <w:t>DAĞITIM YERLERİNE</w:t>
      </w:r>
    </w:p>
    <w:p w:rsidR="00730DE4" w:rsidRDefault="00730DE4" w:rsidP="00730DE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İlgi: </w:t>
      </w:r>
      <w:hyperlink r:id="rId4" w:tgtFrame="_blank" w:history="1">
        <w:r>
          <w:rPr>
            <w:rStyle w:val="Kpr"/>
            <w:rFonts w:ascii="Arial" w:hAnsi="Arial" w:cs="Arial"/>
            <w:color w:val="990000"/>
            <w:sz w:val="21"/>
            <w:szCs w:val="21"/>
          </w:rPr>
          <w:t>25.10.2017 tarihli dilekçeniz</w:t>
        </w:r>
      </w:hyperlink>
    </w:p>
    <w:p w:rsidR="00730DE4" w:rsidRDefault="00730DE4" w:rsidP="00730DE4">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İlgide kayıtlı dilekçenizde; </w:t>
      </w:r>
      <w:hyperlink r:id="rId5" w:history="1">
        <w:r>
          <w:rPr>
            <w:rStyle w:val="Kpr"/>
            <w:rFonts w:ascii="Arial" w:hAnsi="Arial" w:cs="Arial"/>
            <w:color w:val="990000"/>
            <w:sz w:val="21"/>
            <w:szCs w:val="21"/>
          </w:rPr>
          <w:t>2017/3 sayılı</w:t>
        </w:r>
      </w:hyperlink>
      <w:r>
        <w:rPr>
          <w:rFonts w:ascii="Arial" w:hAnsi="Arial" w:cs="Arial"/>
          <w:color w:val="000000"/>
          <w:sz w:val="21"/>
          <w:szCs w:val="21"/>
        </w:rPr>
        <w:t> Konteyner ve Liman Takip Sistemi konulu Genelgenin, </w:t>
      </w:r>
      <w:r>
        <w:rPr>
          <w:rFonts w:ascii="Arial" w:hAnsi="Arial" w:cs="Arial"/>
          <w:i/>
          <w:iCs/>
          <w:color w:val="000000"/>
          <w:sz w:val="21"/>
          <w:szCs w:val="21"/>
        </w:rPr>
        <w:t xml:space="preserve">"Liman sahasına girişi yapılmayan eşyaya ilişkin ihracat beyannamesi onaylanmaz. Yönetmeliğin </w:t>
      </w:r>
      <w:proofErr w:type="gramStart"/>
      <w:r>
        <w:rPr>
          <w:rFonts w:ascii="Arial" w:hAnsi="Arial" w:cs="Arial"/>
          <w:i/>
          <w:iCs/>
          <w:color w:val="000000"/>
          <w:sz w:val="21"/>
          <w:szCs w:val="21"/>
        </w:rPr>
        <w:t xml:space="preserve">182 </w:t>
      </w:r>
      <w:proofErr w:type="spellStart"/>
      <w:r>
        <w:rPr>
          <w:rFonts w:ascii="Arial" w:hAnsi="Arial" w:cs="Arial"/>
          <w:i/>
          <w:iCs/>
          <w:color w:val="000000"/>
          <w:sz w:val="21"/>
          <w:szCs w:val="21"/>
        </w:rPr>
        <w:t>nci</w:t>
      </w:r>
      <w:proofErr w:type="spellEnd"/>
      <w:proofErr w:type="gramEnd"/>
      <w:r>
        <w:rPr>
          <w:rFonts w:ascii="Arial" w:hAnsi="Arial" w:cs="Arial"/>
          <w:i/>
          <w:iCs/>
          <w:color w:val="000000"/>
          <w:sz w:val="21"/>
          <w:szCs w:val="21"/>
        </w:rPr>
        <w:t xml:space="preserve"> maddesinde belirtilen durumlar da dahil olmak üzere eşyanın niteliğinden kaynaklanan durumlarda gümrük idaresince liman sahasına girişi yapılmayan eşyaya ilişkin ihracat beyannamesinin onaylanmasına izin verilebilir. Onay aşamasında uygulanacak olan bu hükümler tescil ve onay işleminin birleştiği gümrük idarelerinde tescil aşamasında </w:t>
      </w:r>
      <w:proofErr w:type="spellStart"/>
      <w:r>
        <w:rPr>
          <w:rFonts w:ascii="Arial" w:hAnsi="Arial" w:cs="Arial"/>
          <w:i/>
          <w:iCs/>
          <w:color w:val="000000"/>
          <w:sz w:val="21"/>
          <w:szCs w:val="21"/>
        </w:rPr>
        <w:t>uygulanır."</w:t>
      </w:r>
      <w:r>
        <w:rPr>
          <w:rFonts w:ascii="Arial" w:hAnsi="Arial" w:cs="Arial"/>
          <w:color w:val="000000"/>
          <w:sz w:val="21"/>
          <w:szCs w:val="21"/>
        </w:rPr>
        <w:t>hükmünün</w:t>
      </w:r>
      <w:proofErr w:type="spellEnd"/>
      <w:r>
        <w:rPr>
          <w:rFonts w:ascii="Arial" w:hAnsi="Arial" w:cs="Arial"/>
          <w:color w:val="000000"/>
          <w:sz w:val="21"/>
          <w:szCs w:val="21"/>
        </w:rPr>
        <w:t>, Gümrük Yönetmeliği'nin </w:t>
      </w:r>
      <w:hyperlink r:id="rId6" w:anchor="M417" w:history="1">
        <w:proofErr w:type="gramStart"/>
        <w:r>
          <w:rPr>
            <w:rStyle w:val="Kpr"/>
            <w:rFonts w:ascii="Arial" w:hAnsi="Arial" w:cs="Arial"/>
            <w:color w:val="990000"/>
            <w:sz w:val="21"/>
            <w:szCs w:val="21"/>
          </w:rPr>
          <w:t xml:space="preserve">417 </w:t>
        </w:r>
        <w:proofErr w:type="spellStart"/>
        <w:r>
          <w:rPr>
            <w:rStyle w:val="Kpr"/>
            <w:rFonts w:ascii="Arial" w:hAnsi="Arial" w:cs="Arial"/>
            <w:color w:val="990000"/>
            <w:sz w:val="21"/>
            <w:szCs w:val="21"/>
          </w:rPr>
          <w:t>nci</w:t>
        </w:r>
        <w:proofErr w:type="spellEnd"/>
        <w:proofErr w:type="gramEnd"/>
        <w:r>
          <w:rPr>
            <w:rStyle w:val="Kpr"/>
            <w:rFonts w:ascii="Arial" w:hAnsi="Arial" w:cs="Arial"/>
            <w:color w:val="990000"/>
            <w:sz w:val="21"/>
            <w:szCs w:val="21"/>
          </w:rPr>
          <w:t> </w:t>
        </w:r>
      </w:hyperlink>
      <w:r>
        <w:rPr>
          <w:rFonts w:ascii="Arial" w:hAnsi="Arial" w:cs="Arial"/>
          <w:color w:val="000000"/>
          <w:sz w:val="21"/>
          <w:szCs w:val="21"/>
        </w:rPr>
        <w:t>maddesinin 3 üncü fıkrasında yer alan </w:t>
      </w:r>
      <w:r>
        <w:rPr>
          <w:rFonts w:ascii="Arial" w:hAnsi="Arial" w:cs="Arial"/>
          <w:b/>
          <w:bCs/>
          <w:i/>
          <w:iCs/>
          <w:color w:val="000000"/>
          <w:sz w:val="21"/>
          <w:szCs w:val="21"/>
        </w:rPr>
        <w:t>"Geçici depolama yerlerine konulmaksızın i</w:t>
      </w:r>
      <w:r>
        <w:rPr>
          <w:rFonts w:ascii="Arial" w:hAnsi="Arial" w:cs="Arial"/>
          <w:i/>
          <w:iCs/>
          <w:color w:val="000000"/>
          <w:sz w:val="21"/>
          <w:szCs w:val="21"/>
        </w:rPr>
        <w:t>hraç edilecek eşyanın beyanname kapatma süresi iki avdır. Bu süre gümrük müdürlüklerince makul sebeplerle en çok iki ay uzatılabilir. Bu süreler içinde işlemleri tamamlanmayan beyannameler iptal edilir."</w:t>
      </w:r>
      <w:r>
        <w:rPr>
          <w:rFonts w:ascii="Arial" w:hAnsi="Arial" w:cs="Arial"/>
          <w:color w:val="000000"/>
          <w:sz w:val="21"/>
          <w:szCs w:val="21"/>
        </w:rPr>
        <w:t> hükmü ile tenakuz yarattığı belirtilmiştir.</w:t>
      </w:r>
    </w:p>
    <w:p w:rsidR="00730DE4" w:rsidRDefault="00730DE4" w:rsidP="00730DE4">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Konu ile ilgili olarak, Gümrükler Genel Müdürlüğünden alınan yazıda; Gümrük Yönetmeliği'nin ihracat eşyasının geçici depolama yerlerinde kalabileceği süreler ile takip edilmeyen ihracat beyannameleri için yapılması gereken işlemleri düzenleyen 417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üçüncü fıkrasının, ihracat eşyasının her durumda geçici depolama yerlerine konulmadan beyan edilebilmesine imkan sağlamadığı ve dolayısıyla anılan Genelgeyle çelişen bir yönünün bulunmadığı değerlendirildiği; söz konusu Genelgeyle ihdas edilen uygulamanın, 1) Gümrük idaresince tayin edilen veya uygun görülen herhangi bir yere getirilen, 2) Gümrük Yönetmeliği'nin 182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beşinci fıkrasında nitelikleri sayılan ve deniz ve kara taşıtlarına yüklenirken muayene edilebileceği belirtilen, 3) Gümrük idaresinin fiziki altyapı yetersizlikleri başta olmak üzere fiili imkansızlıklar nedeniyle gümrüğe sunulamayan ihracat eşyasına ilişkin "10XX" rejim kodlu gümrük beyannamelerinin tesciline engel teşkil etmemesi kaydıyla yeni bir düzenleme yapılmasına da ihtiyaç bulunmadığının değerlendirildiği belirtilmiştir.</w:t>
      </w:r>
    </w:p>
    <w:p w:rsidR="00730DE4" w:rsidRDefault="00730DE4" w:rsidP="00730DE4">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Bilgi ve gereğini rica ederim.</w:t>
      </w:r>
    </w:p>
    <w:p w:rsidR="00730DE4" w:rsidRDefault="00730DE4" w:rsidP="00730DE4">
      <w:pPr>
        <w:pStyle w:val="NormalWeb"/>
        <w:shd w:val="clear" w:color="auto" w:fill="FFFFFF"/>
        <w:spacing w:before="0" w:beforeAutospacing="0" w:after="150" w:afterAutospacing="0"/>
        <w:jc w:val="both"/>
        <w:rPr>
          <w:rFonts w:ascii="Arial" w:hAnsi="Arial" w:cs="Arial"/>
          <w:color w:val="000000"/>
          <w:sz w:val="21"/>
          <w:szCs w:val="21"/>
        </w:rPr>
      </w:pPr>
    </w:p>
    <w:p w:rsidR="00730DE4" w:rsidRPr="007278EF" w:rsidRDefault="00730DE4" w:rsidP="00730DE4">
      <w:pPr>
        <w:pStyle w:val="NormalWeb"/>
        <w:shd w:val="clear" w:color="auto" w:fill="FFFFFF"/>
        <w:spacing w:before="0" w:beforeAutospacing="0" w:after="150" w:afterAutospacing="0"/>
        <w:jc w:val="right"/>
        <w:rPr>
          <w:rFonts w:ascii="Arial" w:hAnsi="Arial" w:cs="Arial"/>
          <w:b/>
          <w:color w:val="000000"/>
          <w:sz w:val="21"/>
          <w:szCs w:val="21"/>
        </w:rPr>
      </w:pPr>
      <w:r w:rsidRPr="007278EF">
        <w:rPr>
          <w:rFonts w:ascii="Arial" w:hAnsi="Arial" w:cs="Arial"/>
          <w:b/>
          <w:color w:val="000000"/>
          <w:sz w:val="21"/>
          <w:szCs w:val="21"/>
        </w:rPr>
        <w:t>Jale ARSLAN </w:t>
      </w:r>
      <w:r w:rsidRPr="007278EF">
        <w:rPr>
          <w:rFonts w:ascii="Arial" w:hAnsi="Arial" w:cs="Arial"/>
          <w:b/>
          <w:color w:val="000000"/>
          <w:sz w:val="21"/>
          <w:szCs w:val="21"/>
        </w:rPr>
        <w:br/>
        <w:t>Bakan a. </w:t>
      </w:r>
      <w:r w:rsidRPr="007278EF">
        <w:rPr>
          <w:rFonts w:ascii="Arial" w:hAnsi="Arial" w:cs="Arial"/>
          <w:b/>
          <w:color w:val="000000"/>
          <w:sz w:val="21"/>
          <w:szCs w:val="21"/>
        </w:rPr>
        <w:br/>
        <w:t>Genel Müdür Yrd. V.</w:t>
      </w:r>
    </w:p>
    <w:p w:rsidR="00730DE4" w:rsidRDefault="00730DE4" w:rsidP="00730DE4">
      <w:pPr>
        <w:pStyle w:val="NormalWeb"/>
        <w:shd w:val="clear" w:color="auto" w:fill="FFFFFF"/>
        <w:spacing w:before="0" w:beforeAutospacing="0" w:after="150" w:afterAutospacing="0"/>
        <w:rPr>
          <w:rFonts w:ascii="Arial" w:hAnsi="Arial" w:cs="Arial"/>
          <w:b/>
          <w:bCs/>
          <w:color w:val="000000"/>
          <w:sz w:val="21"/>
          <w:szCs w:val="21"/>
        </w:rPr>
      </w:pPr>
    </w:p>
    <w:p w:rsidR="00730DE4" w:rsidRDefault="00730DE4" w:rsidP="00730DE4">
      <w:pPr>
        <w:pStyle w:val="NormalWeb"/>
        <w:shd w:val="clear" w:color="auto" w:fill="FFFFFF"/>
        <w:spacing w:before="0" w:beforeAutospacing="0" w:after="150" w:afterAutospacing="0"/>
        <w:rPr>
          <w:rFonts w:ascii="Arial" w:hAnsi="Arial" w:cs="Arial"/>
          <w:b/>
          <w:bCs/>
          <w:color w:val="000000"/>
          <w:sz w:val="21"/>
          <w:szCs w:val="21"/>
        </w:rPr>
      </w:pPr>
    </w:p>
    <w:p w:rsidR="00730DE4" w:rsidRDefault="00730DE4" w:rsidP="00730DE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Dağıtım:</w:t>
      </w:r>
      <w:r>
        <w:rPr>
          <w:rFonts w:ascii="Arial" w:hAnsi="Arial" w:cs="Arial"/>
          <w:color w:val="000000"/>
          <w:sz w:val="21"/>
          <w:szCs w:val="21"/>
        </w:rPr>
        <w:t> Ankara Gümrük Müşavirleri Derneği </w:t>
      </w:r>
      <w:r>
        <w:rPr>
          <w:rFonts w:ascii="Arial" w:hAnsi="Arial" w:cs="Arial"/>
          <w:color w:val="000000"/>
          <w:sz w:val="21"/>
          <w:szCs w:val="21"/>
        </w:rPr>
        <w:br/>
        <w:t>İstanbul Gümrük Müşavirleri Derneği </w:t>
      </w:r>
      <w:r>
        <w:rPr>
          <w:rFonts w:ascii="Arial" w:hAnsi="Arial" w:cs="Arial"/>
          <w:color w:val="000000"/>
          <w:sz w:val="21"/>
          <w:szCs w:val="21"/>
        </w:rPr>
        <w:br/>
        <w:t>Mersin Gümrük Müşavirleri Derneği </w:t>
      </w:r>
      <w:r>
        <w:rPr>
          <w:rFonts w:ascii="Arial" w:hAnsi="Arial" w:cs="Arial"/>
          <w:color w:val="000000"/>
          <w:sz w:val="21"/>
          <w:szCs w:val="21"/>
        </w:rPr>
        <w:br/>
        <w:t>İzmir Gümrük Müşavirleri Derneği </w:t>
      </w:r>
      <w:r>
        <w:rPr>
          <w:rFonts w:ascii="Arial" w:hAnsi="Arial" w:cs="Arial"/>
          <w:color w:val="000000"/>
          <w:sz w:val="21"/>
          <w:szCs w:val="21"/>
        </w:rPr>
        <w:br/>
        <w:t>Bursa Gümrük Müşavirleri Derneği</w:t>
      </w:r>
    </w:p>
    <w:p w:rsidR="00730DE4" w:rsidRDefault="00730DE4" w:rsidP="00730DE4"/>
    <w:p w:rsidR="009474AB" w:rsidRDefault="009474AB">
      <w:bookmarkStart w:id="0" w:name="_GoBack"/>
      <w:bookmarkEnd w:id="0"/>
    </w:p>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E4"/>
    <w:rsid w:val="00730DE4"/>
    <w:rsid w:val="00947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7CFE6-FBCF-4880-87DE-7726BB05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D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0D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30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gumruk/yonetmelik2009/ynt11.aspx" TargetMode="External"/><Relationship Id="rId5" Type="http://schemas.openxmlformats.org/officeDocument/2006/relationships/hyperlink" Target="http://www.mevzuat.net/gumruk/genelge/2017/risk201703.aspx" TargetMode="External"/><Relationship Id="rId4" Type="http://schemas.openxmlformats.org/officeDocument/2006/relationships/hyperlink" Target="http://www.mevzuat.net/gumruk/tyazilar/2018/ihracat_beyannamesi_tescili_29007796.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2018-05-30T14:08:00Z</dcterms:created>
  <dcterms:modified xsi:type="dcterms:W3CDTF">2018-05-30T14:08:00Z</dcterms:modified>
</cp:coreProperties>
</file>